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760"/>
      </w:tblGrid>
      <w:tr w:rsidR="00B1562F" w14:paraId="3DA2B677" w14:textId="77777777" w:rsidTr="00354D2D">
        <w:trPr>
          <w:trHeight w:val="290"/>
        </w:trPr>
        <w:tc>
          <w:tcPr>
            <w:tcW w:w="4500" w:type="dxa"/>
            <w:shd w:val="clear" w:color="auto" w:fill="F7C9AC"/>
          </w:tcPr>
          <w:p w14:paraId="3DA2B675" w14:textId="77777777" w:rsidR="00B1562F" w:rsidRDefault="00B1562F" w:rsidP="0091554C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Frequently Asked Questions</w:t>
            </w:r>
          </w:p>
        </w:tc>
        <w:tc>
          <w:tcPr>
            <w:tcW w:w="5760" w:type="dxa"/>
            <w:shd w:val="clear" w:color="auto" w:fill="F7C9AC"/>
          </w:tcPr>
          <w:p w14:paraId="3DA2B676" w14:textId="77777777" w:rsidR="00B1562F" w:rsidRDefault="00B1562F" w:rsidP="0091554C">
            <w:pPr>
              <w:pStyle w:val="TableParagraph"/>
              <w:spacing w:line="270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Answer</w:t>
            </w:r>
          </w:p>
        </w:tc>
      </w:tr>
      <w:tr w:rsidR="00B1562F" w:rsidRPr="004F1070" w14:paraId="3DA2B67B" w14:textId="77777777" w:rsidTr="00354D2D">
        <w:trPr>
          <w:trHeight w:val="461"/>
        </w:trPr>
        <w:tc>
          <w:tcPr>
            <w:tcW w:w="4500" w:type="dxa"/>
          </w:tcPr>
          <w:p w14:paraId="3DA2B678" w14:textId="77777777" w:rsidR="00B1562F" w:rsidRPr="004F1070" w:rsidRDefault="00B1562F" w:rsidP="00B1562F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>What is</w:t>
            </w:r>
            <w:r>
              <w:rPr>
                <w:sz w:val="20"/>
                <w:szCs w:val="20"/>
              </w:rPr>
              <w:t xml:space="preserve"> 321 Forms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79" w14:textId="51F59332" w:rsidR="00B76E7D" w:rsidRPr="00B76E7D" w:rsidRDefault="00B76E7D" w:rsidP="00B76E7D">
            <w:pPr>
              <w:pStyle w:val="TableParagraph"/>
              <w:spacing w:before="8"/>
              <w:ind w:righ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 Forms is </w:t>
            </w:r>
            <w:r w:rsidR="00E40B98">
              <w:rPr>
                <w:sz w:val="20"/>
                <w:szCs w:val="20"/>
              </w:rPr>
              <w:t>an entirely</w:t>
            </w:r>
            <w:r w:rsidRPr="00B76E7D">
              <w:rPr>
                <w:sz w:val="20"/>
                <w:szCs w:val="20"/>
              </w:rPr>
              <w:t xml:space="preserve"> digital process </w:t>
            </w:r>
            <w:r>
              <w:rPr>
                <w:sz w:val="20"/>
                <w:szCs w:val="20"/>
              </w:rPr>
              <w:t>that allows</w:t>
            </w:r>
            <w:r w:rsidRPr="00B76E7D">
              <w:rPr>
                <w:sz w:val="20"/>
                <w:szCs w:val="20"/>
              </w:rPr>
              <w:t xml:space="preserve"> new hires to complete the necessary pre-employment forms &amp; documents </w:t>
            </w:r>
            <w:r>
              <w:rPr>
                <w:sz w:val="20"/>
                <w:szCs w:val="20"/>
              </w:rPr>
              <w:t>electronically</w:t>
            </w:r>
            <w:r w:rsidR="00576CFF">
              <w:rPr>
                <w:sz w:val="20"/>
                <w:szCs w:val="20"/>
              </w:rPr>
              <w:t>,</w:t>
            </w:r>
            <w:r w:rsidRPr="00B76E7D">
              <w:rPr>
                <w:sz w:val="20"/>
                <w:szCs w:val="20"/>
              </w:rPr>
              <w:t xml:space="preserve"> creating a more efficient, timely</w:t>
            </w:r>
            <w:r w:rsidR="00576CFF">
              <w:rPr>
                <w:sz w:val="20"/>
                <w:szCs w:val="20"/>
              </w:rPr>
              <w:t>,</w:t>
            </w:r>
            <w:r w:rsidRPr="00B76E7D">
              <w:rPr>
                <w:sz w:val="20"/>
                <w:szCs w:val="20"/>
              </w:rPr>
              <w:t xml:space="preserve"> and streamlined </w:t>
            </w:r>
            <w:r w:rsidR="00576CFF">
              <w:rPr>
                <w:sz w:val="20"/>
                <w:szCs w:val="20"/>
              </w:rPr>
              <w:t>onboarding</w:t>
            </w:r>
            <w:r w:rsidRPr="00B76E7D">
              <w:rPr>
                <w:sz w:val="20"/>
                <w:szCs w:val="20"/>
              </w:rPr>
              <w:t xml:space="preserve"> process.</w:t>
            </w:r>
          </w:p>
          <w:p w14:paraId="3DA2B67A" w14:textId="77777777" w:rsidR="00B1562F" w:rsidRPr="004F1070" w:rsidRDefault="00B1562F" w:rsidP="0091554C">
            <w:pPr>
              <w:pStyle w:val="TableParagraph"/>
              <w:spacing w:before="8"/>
              <w:ind w:right="227"/>
              <w:rPr>
                <w:sz w:val="20"/>
                <w:szCs w:val="20"/>
              </w:rPr>
            </w:pPr>
          </w:p>
        </w:tc>
      </w:tr>
      <w:tr w:rsidR="00B1562F" w:rsidRPr="004F1070" w14:paraId="3DA2B67E" w14:textId="77777777" w:rsidTr="00354D2D">
        <w:trPr>
          <w:trHeight w:val="863"/>
        </w:trPr>
        <w:tc>
          <w:tcPr>
            <w:tcW w:w="4500" w:type="dxa"/>
          </w:tcPr>
          <w:p w14:paraId="3DA2B67C" w14:textId="77777777" w:rsidR="00B1562F" w:rsidRPr="004F1070" w:rsidRDefault="00B1562F" w:rsidP="00B1562F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Who needs to use </w:t>
            </w:r>
            <w:r>
              <w:rPr>
                <w:sz w:val="20"/>
                <w:szCs w:val="20"/>
              </w:rPr>
              <w:t>321 Forms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7D" w14:textId="77777777" w:rsidR="00B1562F" w:rsidRPr="004F1070" w:rsidRDefault="00B1562F" w:rsidP="00B1562F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Newly hired or rehired Self-Directed Employees (SDEs)</w:t>
            </w:r>
            <w:r w:rsidRPr="004F1070">
              <w:rPr>
                <w:sz w:val="20"/>
                <w:szCs w:val="20"/>
              </w:rPr>
              <w:t xml:space="preserve"> </w:t>
            </w:r>
            <w:r w:rsidR="00B76E7D">
              <w:rPr>
                <w:sz w:val="20"/>
                <w:szCs w:val="20"/>
              </w:rPr>
              <w:t>are required to complete any/all necessary pre-employment documents through this process.</w:t>
            </w:r>
          </w:p>
        </w:tc>
      </w:tr>
      <w:tr w:rsidR="00B1562F" w:rsidRPr="004F1070" w14:paraId="3DA2B682" w14:textId="77777777" w:rsidTr="00354D2D">
        <w:trPr>
          <w:trHeight w:val="461"/>
        </w:trPr>
        <w:tc>
          <w:tcPr>
            <w:tcW w:w="4500" w:type="dxa"/>
          </w:tcPr>
          <w:p w14:paraId="3DA2B67F" w14:textId="77777777" w:rsidR="00B1562F" w:rsidRPr="004F1070" w:rsidRDefault="00B1562F" w:rsidP="00B1562F">
            <w:pPr>
              <w:pStyle w:val="TableParagraph"/>
              <w:spacing w:before="8"/>
              <w:ind w:right="387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don’t have a computer at home, do I still need to use 321 Forms?</w:t>
            </w:r>
          </w:p>
        </w:tc>
        <w:tc>
          <w:tcPr>
            <w:tcW w:w="5760" w:type="dxa"/>
          </w:tcPr>
          <w:p w14:paraId="3DA2B680" w14:textId="77777777" w:rsidR="00597B9E" w:rsidRPr="00B76E7D" w:rsidRDefault="00B1562F" w:rsidP="00B76E7D">
            <w:pPr>
              <w:pStyle w:val="TableParagraph"/>
              <w:spacing w:before="8"/>
              <w:ind w:right="271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 xml:space="preserve">the convenience of the 321 Forms automated system is that you can access the system from </w:t>
            </w:r>
            <w:r w:rsidR="000664EF" w:rsidRPr="00B76E7D">
              <w:rPr>
                <w:sz w:val="20"/>
                <w:szCs w:val="20"/>
              </w:rPr>
              <w:t>any device, including mobile phones &amp; tablets.  </w:t>
            </w:r>
          </w:p>
          <w:p w14:paraId="3DA2B681" w14:textId="77777777" w:rsidR="00B1562F" w:rsidRPr="004F1070" w:rsidRDefault="00B1562F" w:rsidP="00B1562F">
            <w:pPr>
              <w:pStyle w:val="TableParagraph"/>
              <w:spacing w:before="8"/>
              <w:ind w:right="271"/>
              <w:rPr>
                <w:sz w:val="20"/>
                <w:szCs w:val="20"/>
              </w:rPr>
            </w:pPr>
          </w:p>
        </w:tc>
      </w:tr>
      <w:tr w:rsidR="00B1562F" w:rsidRPr="004F1070" w14:paraId="3DA2B68B" w14:textId="77777777" w:rsidTr="00354D2D">
        <w:trPr>
          <w:trHeight w:val="2114"/>
        </w:trPr>
        <w:tc>
          <w:tcPr>
            <w:tcW w:w="4500" w:type="dxa"/>
          </w:tcPr>
          <w:p w14:paraId="3DA2B683" w14:textId="77777777" w:rsidR="00B1562F" w:rsidRPr="004F1070" w:rsidRDefault="00B1562F" w:rsidP="00B76E7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>How does</w:t>
            </w:r>
            <w:r w:rsidR="00B76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 Forms</w:t>
            </w:r>
            <w:r w:rsidRPr="004F1070">
              <w:rPr>
                <w:sz w:val="20"/>
                <w:szCs w:val="20"/>
              </w:rPr>
              <w:t xml:space="preserve"> work?</w:t>
            </w:r>
          </w:p>
        </w:tc>
        <w:tc>
          <w:tcPr>
            <w:tcW w:w="5760" w:type="dxa"/>
          </w:tcPr>
          <w:p w14:paraId="3DA2B684" w14:textId="45B883D8" w:rsidR="00B1562F" w:rsidRPr="00366B35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66B35">
              <w:rPr>
                <w:sz w:val="20"/>
                <w:szCs w:val="20"/>
              </w:rPr>
              <w:t xml:space="preserve">There is a </w:t>
            </w:r>
            <w:r w:rsidR="00366B35" w:rsidRPr="00366B35">
              <w:rPr>
                <w:sz w:val="20"/>
                <w:szCs w:val="20"/>
              </w:rPr>
              <w:t>2-step</w:t>
            </w:r>
            <w:r w:rsidRPr="00366B35">
              <w:rPr>
                <w:sz w:val="20"/>
                <w:szCs w:val="20"/>
              </w:rPr>
              <w:t xml:space="preserve"> process:</w:t>
            </w:r>
          </w:p>
          <w:p w14:paraId="3DA2B685" w14:textId="77777777" w:rsidR="00B1562F" w:rsidRPr="00366B35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  <w:p w14:paraId="3DA2B686" w14:textId="46FC6FD5" w:rsidR="00B76E7D" w:rsidRPr="00366B35" w:rsidRDefault="00B1562F" w:rsidP="00B1562F">
            <w:pPr>
              <w:pStyle w:val="TableParagraph"/>
              <w:numPr>
                <w:ilvl w:val="0"/>
                <w:numId w:val="1"/>
              </w:numPr>
              <w:spacing w:before="2" w:line="240" w:lineRule="auto"/>
              <w:ind w:right="293"/>
              <w:rPr>
                <w:sz w:val="20"/>
                <w:szCs w:val="20"/>
              </w:rPr>
            </w:pPr>
            <w:r w:rsidRPr="00366B35">
              <w:rPr>
                <w:b/>
                <w:bCs/>
                <w:sz w:val="20"/>
                <w:szCs w:val="20"/>
                <w:u w:val="single"/>
              </w:rPr>
              <w:t>STEP 1</w:t>
            </w:r>
            <w:r w:rsidRPr="00366B35">
              <w:rPr>
                <w:sz w:val="20"/>
                <w:szCs w:val="20"/>
              </w:rPr>
              <w:t xml:space="preserve">: </w:t>
            </w:r>
            <w:r w:rsidR="00B76E7D" w:rsidRPr="00366B35">
              <w:rPr>
                <w:sz w:val="20"/>
                <w:szCs w:val="20"/>
              </w:rPr>
              <w:t xml:space="preserve">The </w:t>
            </w:r>
            <w:r w:rsidR="00ED6766" w:rsidRPr="00366B35">
              <w:rPr>
                <w:sz w:val="20"/>
                <w:szCs w:val="20"/>
              </w:rPr>
              <w:t>AWC</w:t>
            </w:r>
            <w:r w:rsidR="00B76E7D" w:rsidRPr="00366B35">
              <w:rPr>
                <w:sz w:val="20"/>
                <w:szCs w:val="20"/>
              </w:rPr>
              <w:t xml:space="preserve"> </w:t>
            </w:r>
            <w:r w:rsidR="009A5078" w:rsidRPr="00366B35">
              <w:rPr>
                <w:sz w:val="20"/>
                <w:szCs w:val="20"/>
              </w:rPr>
              <w:t xml:space="preserve">Enrollment </w:t>
            </w:r>
            <w:r w:rsidR="00B76E7D" w:rsidRPr="00366B35">
              <w:rPr>
                <w:sz w:val="20"/>
                <w:szCs w:val="20"/>
              </w:rPr>
              <w:t>Specialist will set you up in the system and initiate your onboarding</w:t>
            </w:r>
            <w:r w:rsidR="00D06F58" w:rsidRPr="00366B35">
              <w:rPr>
                <w:sz w:val="20"/>
                <w:szCs w:val="20"/>
              </w:rPr>
              <w:t>.</w:t>
            </w:r>
          </w:p>
          <w:p w14:paraId="3DA2B687" w14:textId="595257BA" w:rsidR="00B76E7D" w:rsidRPr="00366B35" w:rsidRDefault="00B76E7D" w:rsidP="00B1562F">
            <w:pPr>
              <w:pStyle w:val="TableParagraph"/>
              <w:numPr>
                <w:ilvl w:val="0"/>
                <w:numId w:val="1"/>
              </w:numPr>
              <w:spacing w:before="2" w:line="240" w:lineRule="auto"/>
              <w:ind w:right="293"/>
              <w:rPr>
                <w:sz w:val="20"/>
                <w:szCs w:val="20"/>
              </w:rPr>
            </w:pPr>
            <w:r w:rsidRPr="00366B35">
              <w:rPr>
                <w:b/>
                <w:sz w:val="20"/>
                <w:szCs w:val="20"/>
                <w:u w:val="single"/>
              </w:rPr>
              <w:t>Step 2:</w:t>
            </w:r>
            <w:r w:rsidRPr="00366B35">
              <w:rPr>
                <w:sz w:val="20"/>
                <w:szCs w:val="20"/>
              </w:rPr>
              <w:t xml:space="preserve"> You will receive an email from the 321 Forms system to login and begin completing your pre-employments documents</w:t>
            </w:r>
            <w:r w:rsidR="00D06F58" w:rsidRPr="00366B35">
              <w:rPr>
                <w:sz w:val="20"/>
                <w:szCs w:val="20"/>
              </w:rPr>
              <w:t>.</w:t>
            </w:r>
          </w:p>
          <w:p w14:paraId="3DA2B68A" w14:textId="77777777" w:rsidR="003554BD" w:rsidRPr="003554BD" w:rsidRDefault="003554BD" w:rsidP="009A5078">
            <w:pPr>
              <w:pStyle w:val="ListParagraph"/>
              <w:widowControl/>
              <w:autoSpaceDE/>
              <w:autoSpaceDN/>
              <w:ind w:left="720"/>
              <w:rPr>
                <w:sz w:val="20"/>
                <w:szCs w:val="20"/>
              </w:rPr>
            </w:pPr>
          </w:p>
        </w:tc>
      </w:tr>
      <w:tr w:rsidR="00B1562F" w:rsidRPr="004F1070" w14:paraId="3DA2B68E" w14:textId="77777777" w:rsidTr="00354D2D">
        <w:trPr>
          <w:trHeight w:val="719"/>
        </w:trPr>
        <w:tc>
          <w:tcPr>
            <w:tcW w:w="4500" w:type="dxa"/>
          </w:tcPr>
          <w:p w14:paraId="3DA2B68C" w14:textId="4C1EA2C2" w:rsidR="00B1562F" w:rsidRPr="004F1070" w:rsidRDefault="00B1562F" w:rsidP="00B1562F">
            <w:pPr>
              <w:pStyle w:val="TableParagraph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How will I know when I </w:t>
            </w:r>
            <w:r w:rsidR="00E40B98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completed my pre-employment documents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8D" w14:textId="5041099C" w:rsidR="00B1562F" w:rsidRPr="004F1070" w:rsidRDefault="003554BD" w:rsidP="003554B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all </w:t>
            </w:r>
            <w:r w:rsidR="00166E66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>documents are completed</w:t>
            </w:r>
            <w:r w:rsidR="00E40B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 system will notify you of successful completion</w:t>
            </w:r>
            <w:r w:rsidR="00012399">
              <w:rPr>
                <w:sz w:val="20"/>
                <w:szCs w:val="20"/>
              </w:rPr>
              <w:t>.</w:t>
            </w:r>
          </w:p>
        </w:tc>
      </w:tr>
      <w:tr w:rsidR="00B1562F" w:rsidRPr="004F1070" w14:paraId="3DA2B692" w14:textId="77777777" w:rsidTr="00354D2D">
        <w:trPr>
          <w:trHeight w:val="461"/>
        </w:trPr>
        <w:tc>
          <w:tcPr>
            <w:tcW w:w="4500" w:type="dxa"/>
          </w:tcPr>
          <w:p w14:paraId="3DA2B68F" w14:textId="77777777" w:rsidR="00B1562F" w:rsidRPr="004F1070" w:rsidRDefault="00B1562F" w:rsidP="0091554C">
            <w:pPr>
              <w:pStyle w:val="TableParagraph"/>
              <w:spacing w:before="8"/>
              <w:ind w:righ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employee dashboard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90" w14:textId="3DC354AC" w:rsidR="003554BD" w:rsidRPr="003554BD" w:rsidRDefault="003554BD" w:rsidP="003554BD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 xml:space="preserve">The Employee Dashboard provides a home page that allows </w:t>
            </w:r>
            <w:r w:rsidR="00E40B98">
              <w:rPr>
                <w:sz w:val="20"/>
                <w:szCs w:val="20"/>
              </w:rPr>
              <w:t>employees</w:t>
            </w:r>
            <w:r w:rsidRPr="003554BD">
              <w:rPr>
                <w:sz w:val="20"/>
                <w:szCs w:val="20"/>
              </w:rPr>
              <w:t xml:space="preserve"> quick links to easily view and manage their information, forms &amp; documents, including the ability to upload any required documents effectively. </w:t>
            </w:r>
          </w:p>
          <w:p w14:paraId="3DA2B691" w14:textId="77777777" w:rsidR="00B1562F" w:rsidRPr="004F1070" w:rsidRDefault="00B1562F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</w:p>
        </w:tc>
      </w:tr>
      <w:tr w:rsidR="00B1562F" w:rsidRPr="004F1070" w14:paraId="3DA2B697" w14:textId="77777777" w:rsidTr="00354D2D">
        <w:trPr>
          <w:trHeight w:val="719"/>
        </w:trPr>
        <w:tc>
          <w:tcPr>
            <w:tcW w:w="4500" w:type="dxa"/>
          </w:tcPr>
          <w:p w14:paraId="3DA2B693" w14:textId="77777777" w:rsidR="00B1562F" w:rsidRPr="004F1070" w:rsidRDefault="00B1562F" w:rsidP="0091554C">
            <w:pPr>
              <w:pStyle w:val="TableParagraph"/>
              <w:spacing w:before="2" w:line="20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do if I experience technical issues with the 321 Forms system?</w:t>
            </w:r>
          </w:p>
        </w:tc>
        <w:tc>
          <w:tcPr>
            <w:tcW w:w="5760" w:type="dxa"/>
          </w:tcPr>
          <w:p w14:paraId="3DA2B694" w14:textId="77777777" w:rsidR="003554BD" w:rsidRDefault="003554BD" w:rsidP="003554B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 xml:space="preserve">321 Forms </w:t>
            </w:r>
            <w:r>
              <w:rPr>
                <w:sz w:val="20"/>
                <w:szCs w:val="20"/>
              </w:rPr>
              <w:t xml:space="preserve">provides </w:t>
            </w:r>
            <w:r w:rsidRPr="003554BD">
              <w:rPr>
                <w:sz w:val="20"/>
                <w:szCs w:val="20"/>
              </w:rPr>
              <w:t xml:space="preserve">Technical Support: </w:t>
            </w:r>
          </w:p>
          <w:p w14:paraId="3DA2B695" w14:textId="196CE3A0" w:rsidR="003554BD" w:rsidRPr="003554BD" w:rsidRDefault="003554BD" w:rsidP="003554BD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3554BD">
              <w:rPr>
                <w:sz w:val="20"/>
                <w:szCs w:val="20"/>
              </w:rPr>
              <w:t>Monday through Friday, 10am-6:30pm EST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3554BD">
                <w:rPr>
                  <w:rStyle w:val="Hyperlink"/>
                  <w:sz w:val="20"/>
                  <w:szCs w:val="20"/>
                </w:rPr>
                <w:t>Support@321forms.com</w:t>
              </w:r>
            </w:hyperlink>
          </w:p>
          <w:p w14:paraId="3DA2B696" w14:textId="77777777" w:rsidR="00B1562F" w:rsidRPr="004F1070" w:rsidRDefault="00B1562F" w:rsidP="0091554C">
            <w:pPr>
              <w:pStyle w:val="TableParagraph"/>
              <w:spacing w:line="227" w:lineRule="exact"/>
              <w:rPr>
                <w:sz w:val="20"/>
                <w:szCs w:val="20"/>
              </w:rPr>
            </w:pPr>
          </w:p>
        </w:tc>
      </w:tr>
      <w:tr w:rsidR="00B1562F" w:rsidRPr="004F1070" w14:paraId="3DA2B69A" w14:textId="77777777" w:rsidTr="00354D2D">
        <w:trPr>
          <w:trHeight w:val="690"/>
        </w:trPr>
        <w:tc>
          <w:tcPr>
            <w:tcW w:w="4500" w:type="dxa"/>
          </w:tcPr>
          <w:p w14:paraId="3DA2B698" w14:textId="77777777" w:rsidR="00B1562F" w:rsidRPr="004F1070" w:rsidRDefault="00B1562F" w:rsidP="0091554C">
            <w:pPr>
              <w:pStyle w:val="TableParagraph"/>
              <w:spacing w:before="3" w:line="240" w:lineRule="auto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am I cleared to start working?</w:t>
            </w:r>
          </w:p>
        </w:tc>
        <w:tc>
          <w:tcPr>
            <w:tcW w:w="5760" w:type="dxa"/>
          </w:tcPr>
          <w:p w14:paraId="3DA2B699" w14:textId="2E0F046E" w:rsidR="00B1562F" w:rsidRPr="004F1070" w:rsidRDefault="003554BD" w:rsidP="0091554C">
            <w:pPr>
              <w:pStyle w:val="TableParagraph"/>
              <w:spacing w:before="3" w:line="240" w:lineRule="auto"/>
              <w:ind w:right="4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Employees cannot start working until the onboarding </w:t>
            </w:r>
            <w:r w:rsidR="009A5078">
              <w:rPr>
                <w:sz w:val="20"/>
                <w:szCs w:val="20"/>
              </w:rPr>
              <w:t xml:space="preserve">portion </w:t>
            </w:r>
            <w:r>
              <w:rPr>
                <w:sz w:val="20"/>
                <w:szCs w:val="20"/>
              </w:rPr>
              <w:t>is complete</w:t>
            </w:r>
            <w:r w:rsidR="000F07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including drug, background, and compliance screenings</w:t>
            </w:r>
            <w:r w:rsidR="009A5078">
              <w:rPr>
                <w:sz w:val="20"/>
                <w:szCs w:val="20"/>
              </w:rPr>
              <w:t>. This is one part of the hiring process.</w:t>
            </w:r>
          </w:p>
        </w:tc>
      </w:tr>
      <w:tr w:rsidR="00B1562F" w:rsidRPr="004F1070" w14:paraId="3DA2B69D" w14:textId="77777777" w:rsidTr="00354D2D">
        <w:trPr>
          <w:trHeight w:val="461"/>
        </w:trPr>
        <w:tc>
          <w:tcPr>
            <w:tcW w:w="4500" w:type="dxa"/>
          </w:tcPr>
          <w:p w14:paraId="3DA2B69B" w14:textId="77777777" w:rsidR="00B1562F" w:rsidRPr="004F1070" w:rsidRDefault="00B1562F" w:rsidP="0091554C">
            <w:pPr>
              <w:pStyle w:val="TableParagraph"/>
              <w:spacing w:before="8"/>
              <w:ind w:right="2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I receive my timesheets?</w:t>
            </w:r>
          </w:p>
        </w:tc>
        <w:tc>
          <w:tcPr>
            <w:tcW w:w="5760" w:type="dxa"/>
          </w:tcPr>
          <w:p w14:paraId="3DA2B69C" w14:textId="2713B18F" w:rsidR="00B1562F" w:rsidRPr="004F1070" w:rsidRDefault="00166E66" w:rsidP="0091554C">
            <w:pPr>
              <w:pStyle w:val="TableParagraph"/>
              <w:spacing w:before="3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all </w:t>
            </w:r>
            <w:r w:rsidR="00012399">
              <w:rPr>
                <w:sz w:val="20"/>
                <w:szCs w:val="20"/>
              </w:rPr>
              <w:t>pre-employment</w:t>
            </w:r>
            <w:r>
              <w:rPr>
                <w:sz w:val="20"/>
                <w:szCs w:val="20"/>
              </w:rPr>
              <w:t xml:space="preserve"> requirements are complete and the SDR plan draft has been approved</w:t>
            </w:r>
            <w:r w:rsidR="000123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AwC</w:t>
            </w:r>
            <w:proofErr w:type="spellEnd"/>
            <w:r>
              <w:rPr>
                <w:sz w:val="20"/>
                <w:szCs w:val="20"/>
              </w:rPr>
              <w:t xml:space="preserve"> Verification team will send the Managing Employer an email with the SDE(s) start date and Temporary Timesheet(s). It is the responsibility of the Managing Employer to disperse the SDE(s) timesheet(s).  </w:t>
            </w:r>
          </w:p>
        </w:tc>
      </w:tr>
      <w:tr w:rsidR="00B1562F" w:rsidRPr="004F1070" w14:paraId="3DA2B6A6" w14:textId="77777777" w:rsidTr="00354D2D">
        <w:trPr>
          <w:trHeight w:val="665"/>
        </w:trPr>
        <w:tc>
          <w:tcPr>
            <w:tcW w:w="4500" w:type="dxa"/>
          </w:tcPr>
          <w:p w14:paraId="3DA2B69E" w14:textId="13E058F6" w:rsidR="00B1562F" w:rsidRPr="004F1070" w:rsidRDefault="0033587C" w:rsidP="0091554C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Whom</w:t>
            </w:r>
            <w:r w:rsidR="00B1562F">
              <w:rPr>
                <w:sz w:val="20"/>
                <w:szCs w:val="20"/>
              </w:rPr>
              <w:t xml:space="preserve"> should I contact with questions regarding my onboarding?</w:t>
            </w:r>
          </w:p>
        </w:tc>
        <w:tc>
          <w:tcPr>
            <w:tcW w:w="5760" w:type="dxa"/>
          </w:tcPr>
          <w:p w14:paraId="3DA2B6A1" w14:textId="4EA5592E" w:rsidR="003554BD" w:rsidRDefault="003554BD" w:rsidP="009A5078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</w:t>
            </w:r>
            <w:r w:rsidR="009A5078">
              <w:rPr>
                <w:sz w:val="20"/>
                <w:szCs w:val="20"/>
              </w:rPr>
              <w:t>your AwC Enrollment Specialist</w:t>
            </w:r>
          </w:p>
          <w:p w14:paraId="3DA2B6A2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3DA2B6A3" w14:textId="77D9912F" w:rsidR="003554BD" w:rsidRP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="00166E66">
              <w:rPr>
                <w:sz w:val="20"/>
                <w:szCs w:val="20"/>
              </w:rPr>
              <w:t xml:space="preserve"> an AwC</w:t>
            </w:r>
            <w:r>
              <w:rPr>
                <w:sz w:val="20"/>
                <w:szCs w:val="20"/>
              </w:rPr>
              <w:t xml:space="preserve"> Contact Customer Service</w:t>
            </w:r>
            <w:r w:rsidR="00166E66">
              <w:rPr>
                <w:sz w:val="20"/>
                <w:szCs w:val="20"/>
              </w:rPr>
              <w:t xml:space="preserve"> Representative:             </w:t>
            </w:r>
            <w:r>
              <w:rPr>
                <w:sz w:val="20"/>
                <w:szCs w:val="20"/>
              </w:rPr>
              <w:t>1</w:t>
            </w:r>
            <w:r w:rsidRPr="003554BD">
              <w:rPr>
                <w:sz w:val="20"/>
                <w:szCs w:val="20"/>
              </w:rPr>
              <w:t>-800-471-3086</w:t>
            </w:r>
          </w:p>
          <w:p w14:paraId="3DA2B6A4" w14:textId="77777777" w:rsidR="003554BD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  <w:p w14:paraId="3DA2B6A5" w14:textId="77777777" w:rsidR="003554BD" w:rsidRPr="004F1070" w:rsidRDefault="003554BD" w:rsidP="003554BD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</w:tr>
      <w:tr w:rsidR="00B1562F" w:rsidRPr="004F1070" w14:paraId="3DA2B6A9" w14:textId="77777777" w:rsidTr="00354D2D">
        <w:trPr>
          <w:trHeight w:val="719"/>
        </w:trPr>
        <w:tc>
          <w:tcPr>
            <w:tcW w:w="4500" w:type="dxa"/>
          </w:tcPr>
          <w:p w14:paraId="3DA2B6A7" w14:textId="77777777" w:rsidR="00B1562F" w:rsidRPr="004F1070" w:rsidRDefault="00B1562F" w:rsidP="00B1562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lastRenderedPageBreak/>
              <w:t>What if I am not cleared to</w:t>
            </w:r>
            <w:r>
              <w:rPr>
                <w:sz w:val="20"/>
                <w:szCs w:val="20"/>
              </w:rPr>
              <w:t xml:space="preserve"> start working</w:t>
            </w:r>
            <w:r w:rsidRPr="004F1070">
              <w:rPr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3DA2B6A8" w14:textId="43714829" w:rsidR="00B1562F" w:rsidRPr="004F1070" w:rsidRDefault="009A5078" w:rsidP="0091554C">
            <w:pPr>
              <w:pStyle w:val="TableParagraph"/>
              <w:spacing w:before="1" w:line="232" w:lineRule="exact"/>
              <w:ind w:right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Enrollment</w:t>
            </w:r>
            <w:r w:rsidR="00354D2D">
              <w:rPr>
                <w:sz w:val="20"/>
                <w:szCs w:val="20"/>
              </w:rPr>
              <w:t xml:space="preserve"> Specialist will inform you of any next steps</w:t>
            </w:r>
            <w:r>
              <w:rPr>
                <w:sz w:val="20"/>
                <w:szCs w:val="20"/>
              </w:rPr>
              <w:t>.</w:t>
            </w:r>
          </w:p>
        </w:tc>
      </w:tr>
      <w:tr w:rsidR="00B1562F" w:rsidRPr="004F1070" w14:paraId="3DA2B6AC" w14:textId="77777777" w:rsidTr="00354D2D">
        <w:trPr>
          <w:trHeight w:val="454"/>
        </w:trPr>
        <w:tc>
          <w:tcPr>
            <w:tcW w:w="4500" w:type="dxa"/>
          </w:tcPr>
          <w:p w14:paraId="3DA2B6AA" w14:textId="77777777" w:rsidR="00B1562F" w:rsidRPr="004F1070" w:rsidRDefault="00B1562F" w:rsidP="00B1562F">
            <w:pPr>
              <w:pStyle w:val="TableParagraph"/>
              <w:spacing w:line="226" w:lineRule="exact"/>
              <w:rPr>
                <w:sz w:val="20"/>
                <w:szCs w:val="20"/>
              </w:rPr>
            </w:pPr>
            <w:r w:rsidRPr="004F1070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do I do if I need CPR/First Aid training</w:t>
            </w:r>
            <w:r w:rsidRPr="004F1070">
              <w:rPr>
                <w:sz w:val="20"/>
                <w:szCs w:val="20"/>
              </w:rPr>
              <w:t xml:space="preserve">? </w:t>
            </w:r>
          </w:p>
        </w:tc>
        <w:tc>
          <w:tcPr>
            <w:tcW w:w="5760" w:type="dxa"/>
          </w:tcPr>
          <w:p w14:paraId="4597929B" w14:textId="19164D77" w:rsidR="00B1562F" w:rsidRDefault="00166E66" w:rsidP="00166E66">
            <w:pPr>
              <w:pStyle w:val="TableParagraph"/>
              <w:spacing w:before="1"/>
              <w:ind w:left="0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contact an AwC Contact Customer Service Representative to schedule your in-person CPR/FA skills check. Please be advised that you must complete the online portion of your CPR/ FA requirement before attending the in-person class. </w:t>
            </w:r>
          </w:p>
          <w:p w14:paraId="4C3EDA79" w14:textId="77777777" w:rsidR="00166E66" w:rsidRDefault="00166E66" w:rsidP="00166E66">
            <w:pPr>
              <w:pStyle w:val="TableParagraph"/>
              <w:spacing w:before="1"/>
              <w:ind w:left="0" w:right="115"/>
              <w:rPr>
                <w:sz w:val="20"/>
                <w:szCs w:val="20"/>
              </w:rPr>
            </w:pPr>
          </w:p>
          <w:p w14:paraId="63275413" w14:textId="698C1D24" w:rsidR="00166E66" w:rsidRDefault="00166E66" w:rsidP="00166E66">
            <w:pPr>
              <w:pStyle w:val="TableParagraph"/>
              <w:spacing w:before="1"/>
              <w:ind w:left="0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AwC Contact Customer Service Representative:                       1</w:t>
            </w:r>
            <w:r w:rsidRPr="003554BD">
              <w:rPr>
                <w:sz w:val="20"/>
                <w:szCs w:val="20"/>
              </w:rPr>
              <w:t>-800-471-3086</w:t>
            </w:r>
          </w:p>
          <w:p w14:paraId="7981642E" w14:textId="77777777" w:rsidR="00166E66" w:rsidRDefault="00166E66" w:rsidP="00166E66">
            <w:pPr>
              <w:pStyle w:val="TableParagraph"/>
              <w:spacing w:before="1"/>
              <w:ind w:left="0" w:righ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AwC Contact Customer Service Representative:</w:t>
            </w:r>
          </w:p>
          <w:p w14:paraId="3DA2B6AB" w14:textId="79D1A3F2" w:rsidR="00166E66" w:rsidRPr="004F1070" w:rsidRDefault="00000000" w:rsidP="00166E66">
            <w:pPr>
              <w:pStyle w:val="TableParagraph"/>
              <w:spacing w:before="1"/>
              <w:ind w:left="0" w:right="115"/>
              <w:rPr>
                <w:sz w:val="20"/>
                <w:szCs w:val="20"/>
              </w:rPr>
            </w:pPr>
            <w:hyperlink r:id="rId12" w:history="1">
              <w:r w:rsidR="00166E66" w:rsidRPr="00A7574D">
                <w:rPr>
                  <w:rStyle w:val="Hyperlink"/>
                  <w:sz w:val="20"/>
                  <w:szCs w:val="20"/>
                </w:rPr>
                <w:t>awccustomerservice@nj.easterseals.com</w:t>
              </w:r>
            </w:hyperlink>
            <w:r w:rsidR="00166E66">
              <w:rPr>
                <w:sz w:val="20"/>
                <w:szCs w:val="20"/>
              </w:rPr>
              <w:t xml:space="preserve"> </w:t>
            </w:r>
          </w:p>
        </w:tc>
      </w:tr>
    </w:tbl>
    <w:p w14:paraId="3DA2B6B6" w14:textId="77777777" w:rsidR="00232F19" w:rsidRDefault="00000000"/>
    <w:sectPr w:rsidR="00232F1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AA18" w14:textId="77777777" w:rsidR="00814F60" w:rsidRDefault="00814F60" w:rsidP="00354D2D">
      <w:r>
        <w:separator/>
      </w:r>
    </w:p>
  </w:endnote>
  <w:endnote w:type="continuationSeparator" w:id="0">
    <w:p w14:paraId="3C5F5362" w14:textId="77777777" w:rsidR="00814F60" w:rsidRDefault="00814F60" w:rsidP="0035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EFEF" w14:textId="77777777" w:rsidR="00814F60" w:rsidRDefault="00814F60" w:rsidP="00354D2D">
      <w:r>
        <w:separator/>
      </w:r>
    </w:p>
  </w:footnote>
  <w:footnote w:type="continuationSeparator" w:id="0">
    <w:p w14:paraId="7CC34265" w14:textId="77777777" w:rsidR="00814F60" w:rsidRDefault="00814F60" w:rsidP="0035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B6BB" w14:textId="77777777" w:rsidR="00354D2D" w:rsidRPr="00354D2D" w:rsidRDefault="00354D2D" w:rsidP="00354D2D">
    <w:pPr>
      <w:pStyle w:val="Header"/>
      <w:jc w:val="center"/>
      <w:rPr>
        <w:rFonts w:ascii="Roboto" w:hAnsi="Roboto"/>
        <w:b/>
        <w:color w:val="0070C0"/>
        <w:sz w:val="40"/>
        <w:szCs w:val="40"/>
      </w:rPr>
    </w:pPr>
    <w:r w:rsidRPr="00354D2D">
      <w:rPr>
        <w:rFonts w:ascii="Roboto" w:hAnsi="Roboto"/>
        <w:b/>
        <w:color w:val="0070C0"/>
        <w:sz w:val="40"/>
        <w:szCs w:val="40"/>
      </w:rPr>
      <w:t>Newly Hired SDE Employees- FAQs</w:t>
    </w:r>
  </w:p>
  <w:p w14:paraId="3DA2B6BC" w14:textId="77777777" w:rsidR="00354D2D" w:rsidRDefault="00354D2D" w:rsidP="00354D2D">
    <w:pPr>
      <w:pStyle w:val="Header"/>
      <w:jc w:val="center"/>
    </w:pPr>
    <w:r w:rsidRPr="00354D2D">
      <w:rPr>
        <w:noProof/>
      </w:rPr>
      <w:drawing>
        <wp:inline distT="0" distB="0" distL="0" distR="0" wp14:anchorId="3DA2B6BE" wp14:editId="3DA2B6BF">
          <wp:extent cx="2052955" cy="538129"/>
          <wp:effectExtent l="0" t="0" r="4445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255" cy="603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A2B6BD" w14:textId="77777777" w:rsidR="00354D2D" w:rsidRDefault="0035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6E9A"/>
    <w:multiLevelType w:val="hybridMultilevel"/>
    <w:tmpl w:val="AEE8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12B"/>
    <w:multiLevelType w:val="hybridMultilevel"/>
    <w:tmpl w:val="C52A8298"/>
    <w:lvl w:ilvl="0" w:tplc="9BFCC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6F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8E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2A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21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29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004532">
    <w:abstractNumId w:val="0"/>
  </w:num>
  <w:num w:numId="2" w16cid:durableId="140734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2F"/>
    <w:rsid w:val="00012399"/>
    <w:rsid w:val="000664EF"/>
    <w:rsid w:val="000F07BD"/>
    <w:rsid w:val="00166E66"/>
    <w:rsid w:val="001B0813"/>
    <w:rsid w:val="0033587C"/>
    <w:rsid w:val="00354D2D"/>
    <w:rsid w:val="003554BD"/>
    <w:rsid w:val="00366B35"/>
    <w:rsid w:val="00576CFF"/>
    <w:rsid w:val="00597B9E"/>
    <w:rsid w:val="00665188"/>
    <w:rsid w:val="00814F60"/>
    <w:rsid w:val="009A5078"/>
    <w:rsid w:val="009B619C"/>
    <w:rsid w:val="00B1562F"/>
    <w:rsid w:val="00B76E7D"/>
    <w:rsid w:val="00D06F58"/>
    <w:rsid w:val="00DC5FED"/>
    <w:rsid w:val="00E40B98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B675"/>
  <w15:chartTrackingRefBased/>
  <w15:docId w15:val="{0C854E9E-F873-4D05-B375-F7A132B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62F"/>
  </w:style>
  <w:style w:type="paragraph" w:customStyle="1" w:styleId="TableParagraph">
    <w:name w:val="Table Paragraph"/>
    <w:basedOn w:val="Normal"/>
    <w:uiPriority w:val="1"/>
    <w:qFormat/>
    <w:rsid w:val="00B1562F"/>
    <w:pPr>
      <w:spacing w:line="228" w:lineRule="exact"/>
      <w:ind w:left="107"/>
    </w:pPr>
  </w:style>
  <w:style w:type="character" w:customStyle="1" w:styleId="normaltextrun">
    <w:name w:val="normaltextrun"/>
    <w:basedOn w:val="DefaultParagraphFont"/>
    <w:rsid w:val="00B1562F"/>
  </w:style>
  <w:style w:type="character" w:styleId="Hyperlink">
    <w:name w:val="Hyperlink"/>
    <w:basedOn w:val="DefaultParagraphFont"/>
    <w:uiPriority w:val="99"/>
    <w:unhideWhenUsed/>
    <w:rsid w:val="00B156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4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2D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16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63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ccustomerservice@nj.easterseal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nellis\Downloads\Support@321form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7CB2F534940B109DE13D711C546" ma:contentTypeVersion="25" ma:contentTypeDescription="Create a new document." ma:contentTypeScope="" ma:versionID="1ffaa0b6cd9f0af7e49d10acc02318ea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ce015260-7c31-4188-9bea-7be94072245c" targetNamespace="http://schemas.microsoft.com/office/2006/metadata/properties" ma:root="true" ma:fieldsID="9f78b688ea1750acaeb06c015710c4e2" ns1:_="" ns2:_="" ns3:_="">
    <xsd:import namespace="http://schemas.microsoft.com/sharepoint/v3"/>
    <xsd:import namespace="16791e93-d344-40ef-953c-c7ea5e4629cc"/>
    <xsd:import namespace="ce015260-7c31-4188-9bea-7be9407224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3146f1e474b4706978881675f1112f5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5260-7c31-4188-9bea-7be94072245c" elementFormDefault="qualified">
    <xsd:import namespace="http://schemas.microsoft.com/office/2006/documentManagement/types"/>
    <xsd:import namespace="http://schemas.microsoft.com/office/infopath/2007/PartnerControls"/>
    <xsd:element name="p3146f1e474b4706978881675f1112f5" ma:index="10" ma:taxonomy="true" ma:internalName="p3146f1e474b4706978881675f1112f5" ma:taxonomyFieldName="Internal_x0020_Department" ma:displayName="Internal Department" ma:default="4;#Advancement|daab9b1b-e7e7-4dbf-8635-27ce1ded89dd" ma:fieldId="{93146f1e-474b-4706-9788-81675f1112f5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0abfd3f-0d79-4807-9c86-b579f9e50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5</Value>
    </TaxCatchAll>
    <p3146f1e474b4706978881675f1112f5 xmlns="ce015260-7c31-4188-9bea-7be940722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</TermName>
          <TermId xmlns="http://schemas.microsoft.com/office/infopath/2007/PartnerControls">f823491f-0441-43bf-9ee6-9e26c9f2cfbe</TermId>
        </TermInfo>
      </Terms>
    </p3146f1e474b4706978881675f1112f5>
    <lcf76f155ced4ddcb4097134ff3c332f xmlns="ce015260-7c31-4188-9bea-7be9407224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B9A5B8-72A7-4E31-AA2E-1D0B955A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ce015260-7c31-4188-9bea-7be94072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EC2E9-3CB2-4ED4-B346-8B4B88E9F91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98611D1-6BBA-4406-964E-6AA51AE5B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CEC7F-CC0C-4B92-8700-949BD01F6A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791e93-d344-40ef-953c-c7ea5e4629cc"/>
    <ds:schemaRef ds:uri="ce015260-7c31-4188-9bea-7be9407224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447</Words>
  <Characters>2488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Martin</dc:creator>
  <cp:keywords/>
  <dc:description/>
  <cp:lastModifiedBy>Amanda Ruggiero</cp:lastModifiedBy>
  <cp:revision>9</cp:revision>
  <dcterms:created xsi:type="dcterms:W3CDTF">2023-04-12T19:31:00Z</dcterms:created>
  <dcterms:modified xsi:type="dcterms:W3CDTF">2023-04-17T20:09:00Z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0x01010015B757CB2F534940B109DE13D711C546</vt:lpwstr>
  </property>
  <property fmtid="{D5CDD505-2E9C-101B-9397-08002B2CF9AE}" pid="3" name="TaxKeyword">
    <vt:lpwstr/>
  </property>
  <property fmtid="{D5CDD505-2E9C-101B-9397-08002B2CF9AE}" pid="4" name="Internal Department">
    <vt:lpwstr>5;#FIS|f823491f-0441-43bf-9ee6-9e26c9f2cfbe</vt:lpwstr>
  </property>
  <property fmtid="{D5CDD505-2E9C-101B-9397-08002B2CF9AE}" pid="5" name="GrammarlyDocumentId">
    <vt:lpwstr>4889a0d1ed140f90d8d659c4aa86e01f9ebf50c6c10ca9454a8f39402c3832f8</vt:lpwstr>
  </property>
  <property fmtid="{D5CDD505-2E9C-101B-9397-08002B2CF9AE}" pid="6" name="MediaServiceImageTags">
    <vt:lpwstr/>
  </property>
</Properties>
</file>